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B0" w:rsidRPr="005962F3" w:rsidRDefault="001761B0" w:rsidP="001761B0">
      <w:pPr>
        <w:ind w:firstLine="851"/>
        <w:jc w:val="right"/>
        <w:rPr>
          <w:sz w:val="24"/>
          <w:szCs w:val="24"/>
        </w:rPr>
      </w:pPr>
      <w:r w:rsidRPr="005962F3">
        <w:rPr>
          <w:sz w:val="24"/>
          <w:szCs w:val="24"/>
        </w:rPr>
        <w:t>Приложение № 2</w:t>
      </w:r>
    </w:p>
    <w:p w:rsidR="001761B0" w:rsidRPr="005962F3" w:rsidRDefault="001761B0" w:rsidP="001761B0">
      <w:pPr>
        <w:ind w:firstLine="851"/>
        <w:jc w:val="right"/>
        <w:rPr>
          <w:sz w:val="24"/>
          <w:szCs w:val="24"/>
        </w:rPr>
      </w:pPr>
      <w:r w:rsidRPr="005962F3">
        <w:rPr>
          <w:sz w:val="24"/>
          <w:szCs w:val="24"/>
        </w:rPr>
        <w:t>к Постановлению Правительства №967/2018</w:t>
      </w:r>
    </w:p>
    <w:p w:rsidR="001761B0" w:rsidRPr="005962F3" w:rsidRDefault="001761B0" w:rsidP="001761B0">
      <w:pPr>
        <w:spacing w:line="238" w:lineRule="auto"/>
        <w:ind w:firstLine="0"/>
        <w:jc w:val="center"/>
        <w:rPr>
          <w:b/>
          <w:sz w:val="24"/>
          <w:szCs w:val="24"/>
        </w:rPr>
      </w:pPr>
    </w:p>
    <w:p w:rsidR="001761B0" w:rsidRPr="005962F3" w:rsidRDefault="001761B0" w:rsidP="001761B0">
      <w:pPr>
        <w:spacing w:line="238" w:lineRule="auto"/>
        <w:ind w:firstLine="0"/>
        <w:jc w:val="center"/>
        <w:rPr>
          <w:b/>
          <w:sz w:val="24"/>
          <w:szCs w:val="24"/>
        </w:rPr>
      </w:pPr>
      <w:r w:rsidRPr="005962F3">
        <w:rPr>
          <w:b/>
          <w:sz w:val="24"/>
          <w:szCs w:val="24"/>
        </w:rPr>
        <w:t xml:space="preserve">ПЛАН ДЕЙСТВИЙ </w:t>
      </w:r>
    </w:p>
    <w:p w:rsidR="001761B0" w:rsidRPr="005962F3" w:rsidRDefault="001761B0" w:rsidP="001761B0">
      <w:pPr>
        <w:spacing w:line="238" w:lineRule="auto"/>
        <w:ind w:firstLine="0"/>
        <w:jc w:val="center"/>
        <w:rPr>
          <w:b/>
          <w:sz w:val="24"/>
          <w:szCs w:val="24"/>
        </w:rPr>
      </w:pPr>
      <w:r w:rsidRPr="005962F3">
        <w:rPr>
          <w:b/>
          <w:sz w:val="24"/>
          <w:szCs w:val="24"/>
        </w:rPr>
        <w:t xml:space="preserve">по борьбе и предупреждению распространения </w:t>
      </w:r>
    </w:p>
    <w:p w:rsidR="001761B0" w:rsidRPr="005962F3" w:rsidRDefault="001761B0" w:rsidP="001761B0">
      <w:pPr>
        <w:spacing w:line="238" w:lineRule="auto"/>
        <w:ind w:firstLine="0"/>
        <w:jc w:val="center"/>
        <w:rPr>
          <w:b/>
          <w:sz w:val="24"/>
          <w:szCs w:val="24"/>
        </w:rPr>
      </w:pPr>
      <w:r w:rsidRPr="005962F3">
        <w:rPr>
          <w:b/>
          <w:sz w:val="24"/>
          <w:szCs w:val="24"/>
        </w:rPr>
        <w:t>сорняка амброзия</w:t>
      </w:r>
      <w:r w:rsidRPr="005962F3">
        <w:rPr>
          <w:sz w:val="24"/>
          <w:szCs w:val="24"/>
        </w:rPr>
        <w:t xml:space="preserve"> </w:t>
      </w:r>
      <w:r w:rsidRPr="005962F3">
        <w:rPr>
          <w:b/>
          <w:sz w:val="24"/>
          <w:szCs w:val="24"/>
        </w:rPr>
        <w:t>(</w:t>
      </w:r>
      <w:proofErr w:type="spellStart"/>
      <w:r w:rsidRPr="005962F3">
        <w:rPr>
          <w:b/>
          <w:i/>
          <w:sz w:val="24"/>
          <w:szCs w:val="24"/>
        </w:rPr>
        <w:t>Ambrosia</w:t>
      </w:r>
      <w:proofErr w:type="spellEnd"/>
      <w:r w:rsidRPr="005962F3">
        <w:rPr>
          <w:b/>
          <w:i/>
          <w:sz w:val="24"/>
          <w:szCs w:val="24"/>
        </w:rPr>
        <w:t xml:space="preserve"> </w:t>
      </w:r>
      <w:proofErr w:type="spellStart"/>
      <w:r w:rsidRPr="005962F3">
        <w:rPr>
          <w:b/>
          <w:i/>
          <w:sz w:val="24"/>
          <w:szCs w:val="24"/>
        </w:rPr>
        <w:t>artemisiifolia</w:t>
      </w:r>
      <w:proofErr w:type="spellEnd"/>
      <w:r w:rsidRPr="005962F3">
        <w:rPr>
          <w:b/>
          <w:sz w:val="24"/>
          <w:szCs w:val="24"/>
        </w:rPr>
        <w:t>)</w:t>
      </w:r>
      <w:r w:rsidRPr="005962F3">
        <w:rPr>
          <w:sz w:val="24"/>
          <w:szCs w:val="24"/>
        </w:rPr>
        <w:t xml:space="preserve"> </w:t>
      </w:r>
      <w:r w:rsidRPr="005962F3">
        <w:rPr>
          <w:b/>
          <w:bCs/>
          <w:sz w:val="24"/>
          <w:szCs w:val="24"/>
        </w:rPr>
        <w:t>на</w:t>
      </w:r>
      <w:r w:rsidRPr="005962F3">
        <w:rPr>
          <w:b/>
          <w:sz w:val="24"/>
          <w:szCs w:val="24"/>
        </w:rPr>
        <w:t xml:space="preserve"> 2019-2024 годы</w:t>
      </w:r>
    </w:p>
    <w:p w:rsidR="001761B0" w:rsidRPr="005962F3" w:rsidRDefault="001761B0" w:rsidP="001761B0">
      <w:pPr>
        <w:spacing w:line="238" w:lineRule="auto"/>
        <w:ind w:firstLine="0"/>
        <w:rPr>
          <w:b/>
          <w:sz w:val="24"/>
          <w:szCs w:val="24"/>
        </w:rPr>
      </w:pPr>
    </w:p>
    <w:tbl>
      <w:tblPr>
        <w:tblStyle w:val="TableGrid"/>
        <w:tblW w:w="5161" w:type="pct"/>
        <w:tblLook w:val="04A0" w:firstRow="1" w:lastRow="0" w:firstColumn="1" w:lastColumn="0" w:noHBand="0" w:noVBand="1"/>
      </w:tblPr>
      <w:tblGrid>
        <w:gridCol w:w="569"/>
        <w:gridCol w:w="3880"/>
        <w:gridCol w:w="1739"/>
        <w:gridCol w:w="3084"/>
        <w:gridCol w:w="2386"/>
        <w:gridCol w:w="3311"/>
      </w:tblGrid>
      <w:tr w:rsidR="001761B0" w:rsidRPr="005962F3" w:rsidTr="006025CA">
        <w:trPr>
          <w:trHeight w:val="474"/>
        </w:trPr>
        <w:tc>
          <w:tcPr>
            <w:tcW w:w="19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 xml:space="preserve">№ </w:t>
            </w:r>
            <w:proofErr w:type="gramStart"/>
            <w:r w:rsidRPr="005962F3">
              <w:rPr>
                <w:rFonts w:asciiTheme="majorBidi" w:hAnsiTheme="majorBidi"/>
                <w:b/>
                <w:sz w:val="24"/>
                <w:szCs w:val="24"/>
              </w:rPr>
              <w:t>п</w:t>
            </w:r>
            <w:proofErr w:type="gramEnd"/>
            <w:r w:rsidRPr="005962F3">
              <w:rPr>
                <w:rFonts w:asciiTheme="majorBidi" w:hAnsiTheme="majorBidi"/>
                <w:b/>
                <w:sz w:val="24"/>
                <w:szCs w:val="24"/>
              </w:rPr>
              <w:t>/п</w:t>
            </w:r>
          </w:p>
        </w:tc>
        <w:tc>
          <w:tcPr>
            <w:tcW w:w="1296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Действия</w:t>
            </w:r>
          </w:p>
        </w:tc>
        <w:tc>
          <w:tcPr>
            <w:tcW w:w="58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03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Ответственный орган</w:t>
            </w:r>
          </w:p>
        </w:tc>
        <w:tc>
          <w:tcPr>
            <w:tcW w:w="797" w:type="pct"/>
          </w:tcPr>
          <w:p w:rsidR="001761B0" w:rsidRPr="005962F3" w:rsidRDefault="001761B0" w:rsidP="006025CA">
            <w:pPr>
              <w:spacing w:line="238" w:lineRule="auto"/>
              <w:ind w:left="-127" w:firstLine="0"/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Затраты</w:t>
            </w:r>
          </w:p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на внедрение</w:t>
            </w:r>
          </w:p>
        </w:tc>
        <w:tc>
          <w:tcPr>
            <w:tcW w:w="1106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Показатели прогресса</w:t>
            </w:r>
          </w:p>
        </w:tc>
      </w:tr>
    </w:tbl>
    <w:p w:rsidR="001761B0" w:rsidRPr="005962F3" w:rsidRDefault="001761B0" w:rsidP="005962F3">
      <w:pPr>
        <w:ind w:firstLine="0"/>
        <w:rPr>
          <w:sz w:val="24"/>
          <w:szCs w:val="24"/>
          <w:lang w:val="en-GB"/>
        </w:rPr>
      </w:pPr>
    </w:p>
    <w:tbl>
      <w:tblPr>
        <w:tblStyle w:val="TableGrid"/>
        <w:tblW w:w="5161" w:type="pct"/>
        <w:tblLook w:val="04A0" w:firstRow="1" w:lastRow="0" w:firstColumn="1" w:lastColumn="0" w:noHBand="0" w:noVBand="1"/>
      </w:tblPr>
      <w:tblGrid>
        <w:gridCol w:w="515"/>
        <w:gridCol w:w="3835"/>
        <w:gridCol w:w="1856"/>
        <w:gridCol w:w="3117"/>
        <w:gridCol w:w="2386"/>
        <w:gridCol w:w="3260"/>
      </w:tblGrid>
      <w:tr w:rsidR="001761B0" w:rsidRPr="005962F3" w:rsidTr="005962F3">
        <w:trPr>
          <w:tblHeader/>
        </w:trPr>
        <w:tc>
          <w:tcPr>
            <w:tcW w:w="172" w:type="pct"/>
          </w:tcPr>
          <w:p w:rsidR="001761B0" w:rsidRPr="005962F3" w:rsidRDefault="001761B0" w:rsidP="006025CA">
            <w:pPr>
              <w:spacing w:line="238" w:lineRule="auto"/>
              <w:ind w:left="-127" w:firstLine="0"/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1</w:t>
            </w:r>
          </w:p>
        </w:tc>
        <w:tc>
          <w:tcPr>
            <w:tcW w:w="1281" w:type="pct"/>
          </w:tcPr>
          <w:p w:rsidR="001761B0" w:rsidRPr="005962F3" w:rsidRDefault="001761B0" w:rsidP="006025CA">
            <w:pPr>
              <w:spacing w:line="238" w:lineRule="auto"/>
              <w:ind w:left="-127" w:firstLine="0"/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761B0" w:rsidRPr="005962F3" w:rsidRDefault="001761B0" w:rsidP="006025CA">
            <w:pPr>
              <w:spacing w:line="238" w:lineRule="auto"/>
              <w:ind w:left="-127" w:firstLine="0"/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3</w:t>
            </w:r>
          </w:p>
        </w:tc>
        <w:tc>
          <w:tcPr>
            <w:tcW w:w="1041" w:type="pct"/>
          </w:tcPr>
          <w:p w:rsidR="001761B0" w:rsidRPr="005962F3" w:rsidRDefault="001761B0" w:rsidP="006025CA">
            <w:pPr>
              <w:spacing w:line="238" w:lineRule="auto"/>
              <w:ind w:left="-127" w:firstLine="0"/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4</w:t>
            </w:r>
          </w:p>
        </w:tc>
        <w:tc>
          <w:tcPr>
            <w:tcW w:w="797" w:type="pct"/>
          </w:tcPr>
          <w:p w:rsidR="001761B0" w:rsidRPr="005962F3" w:rsidRDefault="001761B0" w:rsidP="006025CA">
            <w:pPr>
              <w:spacing w:line="238" w:lineRule="auto"/>
              <w:ind w:left="-127" w:firstLine="0"/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5</w:t>
            </w:r>
          </w:p>
        </w:tc>
        <w:tc>
          <w:tcPr>
            <w:tcW w:w="1090" w:type="pct"/>
          </w:tcPr>
          <w:p w:rsidR="001761B0" w:rsidRPr="005962F3" w:rsidRDefault="001761B0" w:rsidP="006025CA">
            <w:pPr>
              <w:spacing w:line="238" w:lineRule="auto"/>
              <w:ind w:left="-127" w:firstLine="0"/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6</w:t>
            </w:r>
          </w:p>
        </w:tc>
      </w:tr>
      <w:tr w:rsidR="001761B0" w:rsidRPr="005962F3" w:rsidTr="006025CA">
        <w:trPr>
          <w:trHeight w:val="352"/>
        </w:trPr>
        <w:tc>
          <w:tcPr>
            <w:tcW w:w="5000" w:type="pct"/>
            <w:gridSpan w:val="6"/>
            <w:shd w:val="clear" w:color="auto" w:fill="EAF1DD" w:themeFill="accent3" w:themeFillTint="33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b/>
                <w:sz w:val="24"/>
                <w:szCs w:val="24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t>Задача № 1. Борьба и предупреждение распространения амброзии</w:t>
            </w:r>
          </w:p>
        </w:tc>
      </w:tr>
      <w:tr w:rsidR="001761B0" w:rsidRPr="005962F3" w:rsidTr="005962F3">
        <w:trPr>
          <w:trHeight w:val="2093"/>
        </w:trPr>
        <w:tc>
          <w:tcPr>
            <w:tcW w:w="172" w:type="pct"/>
          </w:tcPr>
          <w:p w:rsidR="001761B0" w:rsidRPr="005962F3" w:rsidRDefault="001761B0" w:rsidP="001761B0">
            <w:pPr>
              <w:pStyle w:val="ListParagraph"/>
              <w:numPr>
                <w:ilvl w:val="0"/>
                <w:numId w:val="1"/>
              </w:numPr>
              <w:spacing w:after="0" w:line="238" w:lineRule="auto"/>
              <w:ind w:firstLine="0"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128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Проверка и выявление земельных участков, засоренных сорняком амброзия, в радиусе административно-территориальных единиц</w:t>
            </w:r>
          </w:p>
        </w:tc>
        <w:tc>
          <w:tcPr>
            <w:tcW w:w="62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 xml:space="preserve">II квартал, ежегодно </w:t>
            </w:r>
          </w:p>
        </w:tc>
        <w:tc>
          <w:tcPr>
            <w:tcW w:w="104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 xml:space="preserve">Территориальные подразделения Инспекции по охране окружающей среды, </w:t>
            </w:r>
          </w:p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Национального агентства по безопасности пищевых продуктов,</w:t>
            </w:r>
          </w:p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Национального агентства общественного здоровья</w:t>
            </w:r>
          </w:p>
        </w:tc>
        <w:tc>
          <w:tcPr>
            <w:tcW w:w="797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eastAsia="Arial Unicode MS" w:hAnsiTheme="majorBidi"/>
                <w:color w:val="000000"/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  <w:tc>
          <w:tcPr>
            <w:tcW w:w="109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Площади, охваченные мониторингом (</w:t>
            </w:r>
            <w:proofErr w:type="gramStart"/>
            <w:r w:rsidRPr="005962F3">
              <w:rPr>
                <w:rFonts w:asciiTheme="majorBidi" w:hAnsiTheme="majorBidi"/>
                <w:sz w:val="24"/>
                <w:szCs w:val="24"/>
              </w:rPr>
              <w:t>га</w:t>
            </w:r>
            <w:proofErr w:type="gramEnd"/>
            <w:r w:rsidRPr="005962F3">
              <w:rPr>
                <w:rFonts w:asciiTheme="majorBidi" w:hAnsiTheme="majorBidi"/>
                <w:sz w:val="24"/>
                <w:szCs w:val="24"/>
              </w:rPr>
              <w:t>)</w:t>
            </w:r>
          </w:p>
        </w:tc>
      </w:tr>
      <w:tr w:rsidR="001761B0" w:rsidRPr="005962F3" w:rsidTr="005962F3">
        <w:tc>
          <w:tcPr>
            <w:tcW w:w="172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2.</w:t>
            </w:r>
          </w:p>
        </w:tc>
        <w:tc>
          <w:tcPr>
            <w:tcW w:w="128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 xml:space="preserve">Обеспечение контроля субъектов, ответственных за управление земельными участками в отношении борьбы с амброзией </w:t>
            </w:r>
          </w:p>
        </w:tc>
        <w:tc>
          <w:tcPr>
            <w:tcW w:w="62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II и III кварталы (вегетационный период)</w:t>
            </w:r>
          </w:p>
        </w:tc>
        <w:tc>
          <w:tcPr>
            <w:tcW w:w="104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 xml:space="preserve">Территориальные подразделения Инспекции по охране окружающей среды, </w:t>
            </w:r>
          </w:p>
          <w:p w:rsidR="001761B0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Национального агентства по безопасности пищевых продуктов,</w:t>
            </w:r>
            <w:r w:rsidRPr="005962F3">
              <w:rPr>
                <w:rFonts w:asciiTheme="majorBidi" w:hAnsiTheme="majorBidi"/>
                <w:sz w:val="24"/>
                <w:szCs w:val="24"/>
                <w:lang w:val="ro-RO"/>
              </w:rPr>
              <w:t xml:space="preserve"> </w:t>
            </w:r>
            <w:r w:rsidRPr="005962F3">
              <w:rPr>
                <w:rFonts w:asciiTheme="majorBidi" w:hAnsiTheme="majorBidi"/>
                <w:sz w:val="24"/>
                <w:szCs w:val="24"/>
              </w:rPr>
              <w:t>Национального агентства общественного здоровья</w:t>
            </w:r>
          </w:p>
          <w:p w:rsidR="005962F3" w:rsidRDefault="005962F3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</w:p>
          <w:p w:rsidR="005962F3" w:rsidRDefault="005962F3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</w:p>
          <w:p w:rsidR="005962F3" w:rsidRDefault="005962F3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</w:p>
          <w:p w:rsidR="005962F3" w:rsidRDefault="005962F3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</w:p>
          <w:p w:rsidR="005962F3" w:rsidRPr="005962F3" w:rsidRDefault="005962F3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</w:p>
        </w:tc>
        <w:tc>
          <w:tcPr>
            <w:tcW w:w="797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eastAsia="Arial Unicode MS" w:hAnsiTheme="majorBidi"/>
                <w:color w:val="000000"/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  <w:tc>
          <w:tcPr>
            <w:tcW w:w="109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Количество проверок, составленных предписаний, наложенных штрафов</w:t>
            </w:r>
          </w:p>
        </w:tc>
      </w:tr>
      <w:tr w:rsidR="001761B0" w:rsidRPr="005962F3" w:rsidTr="006025CA">
        <w:tc>
          <w:tcPr>
            <w:tcW w:w="5000" w:type="pct"/>
            <w:gridSpan w:val="6"/>
            <w:shd w:val="clear" w:color="auto" w:fill="EAF1DD" w:themeFill="accent3" w:themeFillTint="33"/>
          </w:tcPr>
          <w:p w:rsidR="001761B0" w:rsidRPr="005962F3" w:rsidRDefault="001761B0" w:rsidP="006025CA">
            <w:pPr>
              <w:spacing w:line="238" w:lineRule="auto"/>
              <w:ind w:firstLine="0"/>
              <w:rPr>
                <w:rFonts w:asciiTheme="majorBidi" w:hAnsiTheme="majorBidi"/>
                <w:b/>
                <w:sz w:val="24"/>
                <w:szCs w:val="24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lastRenderedPageBreak/>
              <w:t>Задача № 2. Кампании по информированию населения</w:t>
            </w:r>
          </w:p>
        </w:tc>
      </w:tr>
      <w:tr w:rsidR="001761B0" w:rsidRPr="005962F3" w:rsidTr="005962F3">
        <w:tc>
          <w:tcPr>
            <w:tcW w:w="172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3.</w:t>
            </w:r>
          </w:p>
        </w:tc>
        <w:tc>
          <w:tcPr>
            <w:tcW w:w="128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Опубликование на официальной веб-странице Министерства информации о морфологическом распознании сорняка в различных вегетационных фазах, его характеристике и последствиях для здоровья населения</w:t>
            </w:r>
          </w:p>
        </w:tc>
        <w:tc>
          <w:tcPr>
            <w:tcW w:w="62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II квартал</w:t>
            </w:r>
          </w:p>
        </w:tc>
        <w:tc>
          <w:tcPr>
            <w:tcW w:w="104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5962F3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97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eastAsia="Arial Unicode MS" w:hAnsiTheme="majorBidi"/>
                <w:color w:val="000000"/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  <w:tc>
          <w:tcPr>
            <w:tcW w:w="109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 xml:space="preserve">Количество публикаций и наглядных фотографий, размещенных на веб-странице  </w:t>
            </w:r>
          </w:p>
        </w:tc>
      </w:tr>
      <w:tr w:rsidR="001761B0" w:rsidRPr="005962F3" w:rsidTr="005962F3">
        <w:trPr>
          <w:trHeight w:val="575"/>
        </w:trPr>
        <w:tc>
          <w:tcPr>
            <w:tcW w:w="172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4.</w:t>
            </w:r>
          </w:p>
        </w:tc>
        <w:tc>
          <w:tcPr>
            <w:tcW w:w="128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Распространение рекомендаций, подготовленных специалистами по борьбе с сорняком амброзия</w:t>
            </w:r>
          </w:p>
        </w:tc>
        <w:tc>
          <w:tcPr>
            <w:tcW w:w="62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II и III кварталы (вегетационный период)</w:t>
            </w:r>
          </w:p>
        </w:tc>
        <w:tc>
          <w:tcPr>
            <w:tcW w:w="104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5962F3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Национальное агентство по безопасности пищевых продуктов</w:t>
            </w:r>
          </w:p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eastAsia="Arial Unicode MS" w:hAnsiTheme="majorBidi"/>
                <w:color w:val="000000"/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  <w:tc>
          <w:tcPr>
            <w:tcW w:w="109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eastAsia="Arial Unicode MS" w:hAnsiTheme="majorBidi"/>
                <w:iCs/>
                <w:color w:val="000000"/>
                <w:sz w:val="24"/>
                <w:szCs w:val="24"/>
                <w:lang w:eastAsia="ro-RO"/>
              </w:rPr>
            </w:pPr>
            <w:proofErr w:type="gramStart"/>
            <w:r w:rsidRPr="005962F3">
              <w:rPr>
                <w:rFonts w:asciiTheme="majorBidi" w:eastAsia="Arial Unicode MS" w:hAnsiTheme="majorBidi"/>
                <w:iCs/>
                <w:color w:val="000000"/>
                <w:sz w:val="24"/>
                <w:szCs w:val="24"/>
                <w:lang w:eastAsia="ro-RO"/>
              </w:rPr>
              <w:t xml:space="preserve">Количество рекомендаций, опубликованных на официальной веб-странице </w:t>
            </w:r>
            <w:r w:rsidRPr="005962F3">
              <w:rPr>
                <w:rFonts w:asciiTheme="majorBidi" w:hAnsiTheme="majorBidi"/>
                <w:sz w:val="24"/>
                <w:szCs w:val="24"/>
              </w:rPr>
              <w:t xml:space="preserve">Национального агентства по безопасности пищевых продуктов, Министерства сельского хозяйства, регионального развития и окружающей среды и распространенных среди органов местного публичного управления </w:t>
            </w:r>
            <w:proofErr w:type="gramEnd"/>
          </w:p>
        </w:tc>
      </w:tr>
      <w:tr w:rsidR="001761B0" w:rsidRPr="005962F3" w:rsidTr="005962F3">
        <w:tc>
          <w:tcPr>
            <w:tcW w:w="172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5.</w:t>
            </w:r>
          </w:p>
        </w:tc>
        <w:tc>
          <w:tcPr>
            <w:tcW w:w="128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Организация кампаний по информированию и повышению сознательности населения путем:</w:t>
            </w:r>
          </w:p>
          <w:p w:rsidR="001761B0" w:rsidRPr="005962F3" w:rsidRDefault="001761B0" w:rsidP="001761B0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spacing w:after="0" w:line="238" w:lineRule="auto"/>
              <w:ind w:left="0" w:firstLine="0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разработки буклетов;</w:t>
            </w:r>
          </w:p>
          <w:p w:rsidR="001761B0" w:rsidRPr="005962F3" w:rsidRDefault="001761B0" w:rsidP="001761B0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spacing w:after="0" w:line="238" w:lineRule="auto"/>
              <w:ind w:left="0" w:firstLine="0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разработки брошюр;</w:t>
            </w:r>
          </w:p>
          <w:p w:rsidR="001761B0" w:rsidRPr="005962F3" w:rsidRDefault="001761B0" w:rsidP="001761B0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spacing w:after="0" w:line="238" w:lineRule="auto"/>
              <w:ind w:left="0" w:firstLine="0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рекламы через средства массовой информации</w:t>
            </w:r>
          </w:p>
        </w:tc>
        <w:tc>
          <w:tcPr>
            <w:tcW w:w="62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I-IV кварталы</w:t>
            </w:r>
          </w:p>
        </w:tc>
        <w:tc>
          <w:tcPr>
            <w:tcW w:w="104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Министерство сельского хозяйства, регионального развития и окружающей среды,</w:t>
            </w:r>
            <w:r w:rsidRPr="005962F3">
              <w:rPr>
                <w:rFonts w:asciiTheme="majorBidi" w:hAnsiTheme="majorBidi"/>
                <w:sz w:val="24"/>
                <w:szCs w:val="24"/>
                <w:lang w:val="ro-RO"/>
              </w:rPr>
              <w:t xml:space="preserve"> </w:t>
            </w:r>
            <w:r w:rsidRPr="005962F3">
              <w:rPr>
                <w:rFonts w:asciiTheme="majorBidi" w:hAnsiTheme="majorBidi"/>
                <w:sz w:val="24"/>
                <w:szCs w:val="24"/>
              </w:rPr>
              <w:t>Министерство здравоохранения, труда и социальной защиты,</w:t>
            </w:r>
          </w:p>
          <w:p w:rsidR="001761B0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Национальное агентство по безопасности пищевых продуктов</w:t>
            </w:r>
          </w:p>
          <w:p w:rsidR="005962F3" w:rsidRDefault="005962F3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</w:p>
          <w:p w:rsidR="005962F3" w:rsidRDefault="005962F3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</w:p>
          <w:p w:rsidR="005962F3" w:rsidRDefault="005962F3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</w:p>
          <w:p w:rsidR="005962F3" w:rsidRDefault="005962F3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</w:p>
          <w:p w:rsidR="005962F3" w:rsidRPr="005962F3" w:rsidRDefault="005962F3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797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eastAsia="Arial Unicode MS" w:hAnsiTheme="majorBidi"/>
                <w:color w:val="000000"/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  <w:tc>
          <w:tcPr>
            <w:tcW w:w="109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eastAsia="Arial Unicode MS" w:hAnsiTheme="majorBidi"/>
                <w:iCs/>
                <w:color w:val="000000"/>
                <w:sz w:val="24"/>
                <w:szCs w:val="24"/>
                <w:lang w:eastAsia="ro-RO"/>
              </w:rPr>
            </w:pPr>
            <w:r w:rsidRPr="005962F3">
              <w:rPr>
                <w:rFonts w:asciiTheme="majorBidi" w:eastAsia="Arial Unicode MS" w:hAnsiTheme="majorBidi"/>
                <w:iCs/>
                <w:color w:val="000000"/>
                <w:sz w:val="24"/>
                <w:szCs w:val="24"/>
                <w:lang w:eastAsia="ro-RO"/>
              </w:rPr>
              <w:t xml:space="preserve">Количество распространенных буклетов/брошюр; </w:t>
            </w:r>
          </w:p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eastAsia="Arial Unicode MS" w:hAnsiTheme="majorBidi"/>
                <w:iCs/>
                <w:color w:val="000000"/>
                <w:sz w:val="24"/>
                <w:szCs w:val="24"/>
                <w:lang w:eastAsia="ro-RO"/>
              </w:rPr>
            </w:pPr>
            <w:r w:rsidRPr="005962F3">
              <w:rPr>
                <w:rFonts w:asciiTheme="majorBidi" w:eastAsia="Arial Unicode MS" w:hAnsiTheme="majorBidi"/>
                <w:iCs/>
                <w:color w:val="000000"/>
                <w:sz w:val="24"/>
                <w:szCs w:val="24"/>
                <w:lang w:eastAsia="ro-RO"/>
              </w:rPr>
              <w:t xml:space="preserve">количество рекламных материалов, распространенных через средства массовой информации </w:t>
            </w:r>
          </w:p>
        </w:tc>
      </w:tr>
      <w:tr w:rsidR="001761B0" w:rsidRPr="005962F3" w:rsidTr="006025CA">
        <w:tc>
          <w:tcPr>
            <w:tcW w:w="5000" w:type="pct"/>
            <w:gridSpan w:val="6"/>
            <w:shd w:val="clear" w:color="auto" w:fill="EAF1DD" w:themeFill="accent3" w:themeFillTint="33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b/>
                <w:sz w:val="24"/>
                <w:szCs w:val="24"/>
              </w:rPr>
            </w:pPr>
            <w:r w:rsidRPr="005962F3">
              <w:rPr>
                <w:rFonts w:asciiTheme="majorBidi" w:hAnsiTheme="majorBidi"/>
                <w:b/>
                <w:sz w:val="24"/>
                <w:szCs w:val="24"/>
              </w:rPr>
              <w:lastRenderedPageBreak/>
              <w:t>Задача № 3. Представление отчетности</w:t>
            </w:r>
          </w:p>
        </w:tc>
      </w:tr>
      <w:tr w:rsidR="001761B0" w:rsidRPr="005962F3" w:rsidTr="005962F3">
        <w:tc>
          <w:tcPr>
            <w:tcW w:w="172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6.</w:t>
            </w:r>
          </w:p>
        </w:tc>
        <w:tc>
          <w:tcPr>
            <w:tcW w:w="128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 xml:space="preserve">Представление отчета о предпринятых мерах по борьбе с амброзией Министерству сельского хозяйства, регионального развития и окружающей среды </w:t>
            </w:r>
          </w:p>
        </w:tc>
        <w:tc>
          <w:tcPr>
            <w:tcW w:w="62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 xml:space="preserve">Каждое  полугодие </w:t>
            </w:r>
          </w:p>
        </w:tc>
        <w:tc>
          <w:tcPr>
            <w:tcW w:w="104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Территориальные</w:t>
            </w:r>
            <w:r w:rsidRPr="005962F3">
              <w:rPr>
                <w:rFonts w:asciiTheme="majorBidi" w:hAnsiTheme="majorBidi"/>
                <w:sz w:val="24"/>
                <w:szCs w:val="24"/>
                <w:lang w:val="ro-RO"/>
              </w:rPr>
              <w:t xml:space="preserve"> </w:t>
            </w:r>
            <w:r w:rsidRPr="005962F3">
              <w:rPr>
                <w:rFonts w:asciiTheme="majorBidi" w:hAnsiTheme="majorBidi"/>
                <w:sz w:val="24"/>
                <w:szCs w:val="24"/>
              </w:rPr>
              <w:t xml:space="preserve">подразделения Инспекции по охране окружающей среды, </w:t>
            </w:r>
          </w:p>
          <w:p w:rsidR="005962F3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Национального агентства по безопасности пищевых продуктов,</w:t>
            </w:r>
            <w:r w:rsidRPr="005962F3">
              <w:rPr>
                <w:rFonts w:asciiTheme="majorBidi" w:hAnsiTheme="majorBidi"/>
                <w:sz w:val="24"/>
                <w:szCs w:val="24"/>
                <w:lang w:val="ro-RO"/>
              </w:rPr>
              <w:t xml:space="preserve"> </w:t>
            </w:r>
            <w:r w:rsidRPr="005962F3">
              <w:rPr>
                <w:rFonts w:asciiTheme="majorBidi" w:hAnsiTheme="majorBidi"/>
                <w:sz w:val="24"/>
                <w:szCs w:val="24"/>
              </w:rPr>
              <w:t>Национального агентства общественного здоровья</w:t>
            </w:r>
          </w:p>
        </w:tc>
        <w:tc>
          <w:tcPr>
            <w:tcW w:w="797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eastAsia="Arial Unicode MS" w:hAnsiTheme="majorBidi"/>
                <w:color w:val="000000"/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  <w:tc>
          <w:tcPr>
            <w:tcW w:w="109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Количество составленных и представленных отчетов</w:t>
            </w:r>
          </w:p>
        </w:tc>
      </w:tr>
      <w:tr w:rsidR="001761B0" w:rsidRPr="005962F3" w:rsidTr="005962F3">
        <w:tc>
          <w:tcPr>
            <w:tcW w:w="172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7.</w:t>
            </w:r>
          </w:p>
        </w:tc>
        <w:tc>
          <w:tcPr>
            <w:tcW w:w="128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Представление Правительству информации о результатах предпринятых мер по борьбе с амброзией</w:t>
            </w:r>
          </w:p>
        </w:tc>
        <w:tc>
          <w:tcPr>
            <w:tcW w:w="62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 xml:space="preserve">Ежегодно, </w:t>
            </w:r>
          </w:p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до 15 февраля</w:t>
            </w:r>
          </w:p>
        </w:tc>
        <w:tc>
          <w:tcPr>
            <w:tcW w:w="1041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97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eastAsia="Arial Unicode MS" w:hAnsiTheme="majorBidi"/>
                <w:color w:val="000000"/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  <w:tc>
          <w:tcPr>
            <w:tcW w:w="1090" w:type="pct"/>
          </w:tcPr>
          <w:p w:rsidR="001761B0" w:rsidRPr="005962F3" w:rsidRDefault="001761B0" w:rsidP="006025CA">
            <w:pPr>
              <w:spacing w:line="238" w:lineRule="auto"/>
              <w:ind w:firstLine="0"/>
              <w:jc w:val="left"/>
              <w:rPr>
                <w:rFonts w:asciiTheme="majorBidi" w:hAnsiTheme="majorBidi"/>
                <w:sz w:val="24"/>
                <w:szCs w:val="24"/>
              </w:rPr>
            </w:pPr>
            <w:r w:rsidRPr="005962F3">
              <w:rPr>
                <w:rFonts w:asciiTheme="majorBidi" w:hAnsiTheme="majorBidi"/>
                <w:sz w:val="24"/>
                <w:szCs w:val="24"/>
              </w:rPr>
              <w:t>Количество составленных и представленных отчетов</w:t>
            </w:r>
          </w:p>
        </w:tc>
      </w:tr>
    </w:tbl>
    <w:p w:rsidR="001761B0" w:rsidRPr="005962F3" w:rsidRDefault="001761B0" w:rsidP="001761B0">
      <w:pPr>
        <w:spacing w:line="238" w:lineRule="auto"/>
        <w:ind w:firstLine="0"/>
        <w:rPr>
          <w:sz w:val="24"/>
          <w:szCs w:val="24"/>
          <w:lang w:eastAsia="ru-RU"/>
        </w:rPr>
      </w:pPr>
    </w:p>
    <w:p w:rsidR="001761B0" w:rsidRPr="005962F3" w:rsidRDefault="001761B0">
      <w:pPr>
        <w:rPr>
          <w:sz w:val="24"/>
          <w:szCs w:val="24"/>
        </w:rPr>
      </w:pPr>
    </w:p>
    <w:sectPr w:rsidR="001761B0" w:rsidRPr="005962F3" w:rsidSect="00E56788">
      <w:pgSz w:w="16838" w:h="11906" w:orient="landscape" w:code="9"/>
      <w:pgMar w:top="119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32"/>
    <w:multiLevelType w:val="hybridMultilevel"/>
    <w:tmpl w:val="4AA86762"/>
    <w:lvl w:ilvl="0" w:tplc="629A2E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543A08D9"/>
    <w:multiLevelType w:val="hybridMultilevel"/>
    <w:tmpl w:val="09EAD38A"/>
    <w:lvl w:ilvl="0" w:tplc="03AADD44">
      <w:start w:val="6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B0"/>
    <w:rsid w:val="001761B0"/>
    <w:rsid w:val="005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B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761B0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B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761B0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2018-10-15T06:37:00Z</dcterms:created>
  <dcterms:modified xsi:type="dcterms:W3CDTF">2018-10-15T06:40:00Z</dcterms:modified>
</cp:coreProperties>
</file>